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EF" w:rsidRPr="00BA4C1B" w:rsidRDefault="00AF43DE" w:rsidP="000417E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Sommersemester 20</w:t>
      </w:r>
      <w:r w:rsidR="000417EF">
        <w:rPr>
          <w:b/>
          <w:sz w:val="20"/>
          <w:szCs w:val="20"/>
        </w:rPr>
        <w:t>1</w:t>
      </w:r>
      <w:r w:rsidR="000E2AB5">
        <w:rPr>
          <w:b/>
          <w:sz w:val="20"/>
          <w:szCs w:val="20"/>
        </w:rPr>
        <w:t>4</w:t>
      </w:r>
    </w:p>
    <w:p w:rsidR="000417EF" w:rsidRDefault="000417EF" w:rsidP="000417EF">
      <w:pPr>
        <w:ind w:right="348"/>
        <w:jc w:val="center"/>
        <w:rPr>
          <w:b/>
          <w:sz w:val="20"/>
        </w:rPr>
      </w:pPr>
      <w:r>
        <w:rPr>
          <w:b/>
          <w:sz w:val="20"/>
        </w:rPr>
        <w:t xml:space="preserve">     Wiss. Mitarb. Volker Müller</w:t>
      </w:r>
    </w:p>
    <w:p w:rsidR="000417EF" w:rsidRDefault="000417EF" w:rsidP="000417EF">
      <w:pPr>
        <w:ind w:right="348"/>
        <w:jc w:val="both"/>
        <w:rPr>
          <w:b/>
          <w:sz w:val="20"/>
        </w:rPr>
      </w:pPr>
    </w:p>
    <w:p w:rsidR="000417EF" w:rsidRDefault="000417EF" w:rsidP="0004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73022">
        <w:rPr>
          <w:b/>
        </w:rPr>
        <w:t>Fachdidaktische Übung:</w:t>
      </w:r>
      <w:r>
        <w:rPr>
          <w:b/>
        </w:rPr>
        <w:t xml:space="preserve"> Einführung in die Didaktik des Lateinischen</w:t>
      </w:r>
    </w:p>
    <w:p w:rsidR="000417EF" w:rsidRPr="00A52C1D" w:rsidRDefault="000417EF" w:rsidP="0004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52C1D">
        <w:rPr>
          <w:b/>
          <w:sz w:val="32"/>
          <w:szCs w:val="32"/>
        </w:rPr>
        <w:t xml:space="preserve">Präparationshandreichung für die 9. Sitzung am </w:t>
      </w:r>
      <w:r w:rsidR="000E2AB5">
        <w:rPr>
          <w:b/>
          <w:sz w:val="32"/>
          <w:szCs w:val="32"/>
        </w:rPr>
        <w:t>13.06.2014</w:t>
      </w:r>
    </w:p>
    <w:p w:rsidR="000417EF" w:rsidRDefault="000417EF" w:rsidP="000417EF">
      <w:pPr>
        <w:rPr>
          <w:b/>
        </w:rPr>
      </w:pPr>
    </w:p>
    <w:p w:rsidR="000417EF" w:rsidRDefault="000417EF" w:rsidP="000417EF">
      <w:pPr>
        <w:pBdr>
          <w:left w:val="single" w:sz="4" w:space="4" w:color="auto"/>
        </w:pBdr>
        <w:jc w:val="both"/>
        <w:rPr>
          <w:b/>
        </w:rPr>
      </w:pPr>
      <w:r>
        <w:rPr>
          <w:b/>
        </w:rPr>
        <w:t xml:space="preserve">Schriftliche Vertiefungsaufgabe zum Thema der letzten Sitzung: „Grammatikunterricht - Lehrbücher“ (schriftlich </w:t>
      </w:r>
      <w:r w:rsidR="000E2AB5">
        <w:rPr>
          <w:b/>
        </w:rPr>
        <w:t>einzureichen bis Mittwoch, 11</w:t>
      </w:r>
      <w:r w:rsidR="00AF43DE">
        <w:rPr>
          <w:b/>
        </w:rPr>
        <w:t>.</w:t>
      </w:r>
      <w:r w:rsidR="000E2AB5">
        <w:rPr>
          <w:b/>
        </w:rPr>
        <w:t>06.2014</w:t>
      </w:r>
      <w:r>
        <w:rPr>
          <w:b/>
        </w:rPr>
        <w:t>, 12:00 Uhr)</w:t>
      </w:r>
    </w:p>
    <w:p w:rsidR="000417EF" w:rsidRPr="008830DC" w:rsidRDefault="000417EF" w:rsidP="000417EF">
      <w:pPr>
        <w:jc w:val="both"/>
        <w:rPr>
          <w:b/>
        </w:rPr>
      </w:pPr>
    </w:p>
    <w:p w:rsidR="000417EF" w:rsidRDefault="000417EF" w:rsidP="000417EF">
      <w:pPr>
        <w:autoSpaceDE w:val="0"/>
        <w:autoSpaceDN w:val="0"/>
        <w:adjustRightInd w:val="0"/>
        <w:jc w:val="both"/>
        <w:rPr>
          <w:iCs/>
        </w:rPr>
      </w:pPr>
      <w:r w:rsidRPr="008830DC">
        <w:rPr>
          <w:iCs/>
        </w:rPr>
        <w:t>Analysieren Sie vergleichend die didaktisch-methodische Konzeption der folgenden Lektion</w:t>
      </w:r>
      <w:r>
        <w:rPr>
          <w:iCs/>
        </w:rPr>
        <w:t xml:space="preserve">en aus Lehrbüchern unterschiedlicher </w:t>
      </w:r>
      <w:r w:rsidRPr="008830DC">
        <w:rPr>
          <w:iCs/>
        </w:rPr>
        <w:t>Generation</w:t>
      </w:r>
      <w:r>
        <w:rPr>
          <w:iCs/>
        </w:rPr>
        <w:t>en</w:t>
      </w:r>
      <w:r w:rsidRPr="008830DC">
        <w:rPr>
          <w:iCs/>
        </w:rPr>
        <w:t>. Gehen Sie dabei auf das neu</w:t>
      </w:r>
      <w:r>
        <w:rPr>
          <w:iCs/>
        </w:rPr>
        <w:t xml:space="preserve"> eingeführte Pensum, seine Einführung</w:t>
      </w:r>
      <w:r w:rsidRPr="008830DC">
        <w:rPr>
          <w:iCs/>
        </w:rPr>
        <w:t xml:space="preserve"> und Repräsentation ein. Betrachten Sie auch Umfang, Schwierigkeitsgrad, Qualität und Motivationsgehalt der Texte!</w:t>
      </w:r>
    </w:p>
    <w:p w:rsidR="000417EF" w:rsidRPr="008830DC" w:rsidRDefault="000417EF" w:rsidP="000417EF">
      <w:pPr>
        <w:autoSpaceDE w:val="0"/>
        <w:autoSpaceDN w:val="0"/>
        <w:adjustRightInd w:val="0"/>
        <w:rPr>
          <w:iCs/>
        </w:rPr>
      </w:pPr>
    </w:p>
    <w:p w:rsidR="000417EF" w:rsidRDefault="000417EF" w:rsidP="000417EF">
      <w:pPr>
        <w:rPr>
          <w:u w:val="single"/>
          <w:lang w:val="it-IT"/>
        </w:rPr>
      </w:pPr>
      <w:r w:rsidRPr="008830DC">
        <w:rPr>
          <w:u w:val="single"/>
          <w:lang w:val="it-IT"/>
        </w:rPr>
        <w:t>ROMA I (K 6</w:t>
      </w:r>
      <w:r>
        <w:rPr>
          <w:u w:val="single"/>
          <w:lang w:val="it-IT"/>
        </w:rPr>
        <w:t>4</w:t>
      </w:r>
      <w:r w:rsidRPr="008830DC">
        <w:rPr>
          <w:u w:val="single"/>
          <w:lang w:val="it-IT"/>
        </w:rPr>
        <w:t xml:space="preserve">), S. </w:t>
      </w:r>
      <w:r>
        <w:rPr>
          <w:u w:val="single"/>
          <w:lang w:val="it-IT"/>
        </w:rPr>
        <w:t>136</w:t>
      </w:r>
      <w:r w:rsidRPr="008830DC">
        <w:rPr>
          <w:u w:val="single"/>
          <w:lang w:val="it-IT"/>
        </w:rPr>
        <w:t>:</w:t>
      </w:r>
    </w:p>
    <w:p w:rsidR="000417EF" w:rsidRPr="008830DC" w:rsidRDefault="000417EF" w:rsidP="000417EF">
      <w:pPr>
        <w:rPr>
          <w:u w:val="single"/>
          <w:lang w:val="it-IT"/>
        </w:rPr>
      </w:pPr>
    </w:p>
    <w:p w:rsidR="000417EF" w:rsidRPr="00807285" w:rsidRDefault="000417EF" w:rsidP="000417EF">
      <w:pPr>
        <w:jc w:val="center"/>
        <w:rPr>
          <w:sz w:val="18"/>
          <w:szCs w:val="18"/>
          <w:u w:val="single"/>
          <w:lang w:val="it-IT"/>
        </w:rPr>
      </w:pPr>
      <w:r>
        <w:rPr>
          <w:noProof/>
          <w:sz w:val="18"/>
          <w:szCs w:val="18"/>
          <w:u w:val="single"/>
        </w:rPr>
        <w:drawing>
          <wp:inline distT="0" distB="0" distL="0" distR="0">
            <wp:extent cx="4038600" cy="5892800"/>
            <wp:effectExtent l="19050" t="0" r="0" b="0"/>
            <wp:docPr id="1" name="Bild 1" descr="PPP-Rom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P-Roma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EF" w:rsidRDefault="000417EF" w:rsidP="000417EF">
      <w:pPr>
        <w:rPr>
          <w:u w:val="single"/>
        </w:rPr>
      </w:pPr>
      <w:r>
        <w:rPr>
          <w:sz w:val="20"/>
          <w:szCs w:val="20"/>
          <w:u w:val="single"/>
        </w:rPr>
        <w:br w:type="page"/>
      </w:r>
      <w:r>
        <w:rPr>
          <w:u w:val="single"/>
        </w:rPr>
        <w:lastRenderedPageBreak/>
        <w:t>LATEIN MIT FELIX</w:t>
      </w:r>
      <w:r w:rsidRPr="008830DC">
        <w:rPr>
          <w:u w:val="single"/>
        </w:rPr>
        <w:t xml:space="preserve"> II (Kap. </w:t>
      </w:r>
      <w:r>
        <w:rPr>
          <w:u w:val="single"/>
        </w:rPr>
        <w:t>41; S. 24</w:t>
      </w:r>
      <w:r w:rsidRPr="008830DC">
        <w:rPr>
          <w:u w:val="single"/>
        </w:rPr>
        <w:t>)</w:t>
      </w:r>
    </w:p>
    <w:p w:rsidR="000417EF" w:rsidRPr="008830DC" w:rsidRDefault="000417EF" w:rsidP="000417EF">
      <w:pPr>
        <w:rPr>
          <w:u w:val="single"/>
        </w:rPr>
      </w:pPr>
    </w:p>
    <w:p w:rsidR="000417EF" w:rsidRDefault="000417EF" w:rsidP="000417EF">
      <w:pPr>
        <w:jc w:val="center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>
            <wp:extent cx="5626100" cy="7759700"/>
            <wp:effectExtent l="19050" t="0" r="0" b="0"/>
            <wp:docPr id="2" name="Bild 2" descr="PPP-Felix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P-Felix 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75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DE" w:rsidRDefault="00AF43DE" w:rsidP="00AF43DE">
      <w:pPr>
        <w:rPr>
          <w:noProof/>
          <w:sz w:val="20"/>
          <w:szCs w:val="20"/>
          <w:u w:val="single"/>
        </w:rPr>
      </w:pPr>
    </w:p>
    <w:p w:rsidR="00AF43DE" w:rsidRDefault="00AF43DE" w:rsidP="00AF43DE">
      <w:pPr>
        <w:rPr>
          <w:noProof/>
          <w:sz w:val="20"/>
          <w:szCs w:val="20"/>
          <w:u w:val="single"/>
        </w:rPr>
      </w:pPr>
    </w:p>
    <w:p w:rsidR="000417EF" w:rsidRPr="00B742FE" w:rsidRDefault="000417EF" w:rsidP="000417EF">
      <w:pPr>
        <w:pBdr>
          <w:left w:val="single" w:sz="4" w:space="4" w:color="auto"/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B742FE">
        <w:rPr>
          <w:b/>
          <w:sz w:val="32"/>
          <w:szCs w:val="32"/>
        </w:rPr>
        <w:lastRenderedPageBreak/>
        <w:t xml:space="preserve">Vorbereitende Lektüre für die </w:t>
      </w:r>
      <w:r>
        <w:rPr>
          <w:b/>
          <w:sz w:val="32"/>
          <w:szCs w:val="32"/>
        </w:rPr>
        <w:t>9</w:t>
      </w:r>
      <w:r w:rsidRPr="00B742FE">
        <w:rPr>
          <w:b/>
          <w:sz w:val="32"/>
          <w:szCs w:val="32"/>
        </w:rPr>
        <w:t xml:space="preserve">. Sitzung am </w:t>
      </w:r>
      <w:r w:rsidR="000E2AB5">
        <w:rPr>
          <w:b/>
          <w:sz w:val="32"/>
          <w:szCs w:val="32"/>
        </w:rPr>
        <w:t>13</w:t>
      </w:r>
      <w:r w:rsidRPr="00B742FE">
        <w:rPr>
          <w:b/>
          <w:sz w:val="32"/>
          <w:szCs w:val="32"/>
        </w:rPr>
        <w:t>.</w:t>
      </w:r>
      <w:r w:rsidR="000E2AB5">
        <w:rPr>
          <w:b/>
          <w:sz w:val="32"/>
          <w:szCs w:val="32"/>
        </w:rPr>
        <w:t>06.2014</w:t>
      </w:r>
      <w:r w:rsidRPr="00B742FE">
        <w:rPr>
          <w:b/>
          <w:sz w:val="32"/>
          <w:szCs w:val="32"/>
        </w:rPr>
        <w:t xml:space="preserve"> </w:t>
      </w:r>
    </w:p>
    <w:p w:rsidR="000417EF" w:rsidRPr="008830DC" w:rsidRDefault="000417EF" w:rsidP="000417EF">
      <w:pPr>
        <w:rPr>
          <w:b/>
        </w:rPr>
      </w:pPr>
    </w:p>
    <w:p w:rsidR="000417EF" w:rsidRPr="005140CA" w:rsidRDefault="000417EF" w:rsidP="000417EF">
      <w:pPr>
        <w:numPr>
          <w:ilvl w:val="0"/>
          <w:numId w:val="3"/>
        </w:numPr>
        <w:jc w:val="both"/>
        <w:rPr>
          <w:b/>
        </w:rPr>
      </w:pPr>
      <w:r w:rsidRPr="005140CA">
        <w:rPr>
          <w:b/>
        </w:rPr>
        <w:t>Clement Utz, Übergang statt Dichotomie. Bestandsaufnahme und Folgerungen, in: Ders. (Hg.), Vom Lehrbuch zur Lektüre. Vorschläge und Überlegungen zur Übergangsphase, Bamberg 1994 (AUXILIA 36), S. 5-25.</w:t>
      </w:r>
    </w:p>
    <w:p w:rsidR="000417EF" w:rsidRPr="005140CA" w:rsidRDefault="000417EF" w:rsidP="000417EF">
      <w:pPr>
        <w:numPr>
          <w:ilvl w:val="0"/>
          <w:numId w:val="3"/>
        </w:numPr>
        <w:jc w:val="both"/>
        <w:rPr>
          <w:b/>
        </w:rPr>
      </w:pPr>
      <w:r w:rsidRPr="005140CA">
        <w:rPr>
          <w:b/>
        </w:rPr>
        <w:t xml:space="preserve">Rainer Nickel, Lexikon zum Lateinunterricht, Bamberg: C. C. Buchner, 2001, </w:t>
      </w:r>
    </w:p>
    <w:p w:rsidR="000417EF" w:rsidRPr="005140CA" w:rsidRDefault="000417EF" w:rsidP="000417EF">
      <w:pPr>
        <w:ind w:firstLine="708"/>
        <w:jc w:val="both"/>
        <w:rPr>
          <w:b/>
        </w:rPr>
      </w:pPr>
      <w:r w:rsidRPr="005140CA">
        <w:rPr>
          <w:b/>
        </w:rPr>
        <w:t xml:space="preserve">Artikel: Lektüre, kursorische (S. 175); Lektüre, statarische (S. 176); Lektüre, </w:t>
      </w:r>
      <w:r w:rsidRPr="005140CA">
        <w:rPr>
          <w:b/>
        </w:rPr>
        <w:tab/>
        <w:t>thematische (S. 176-178)</w:t>
      </w:r>
    </w:p>
    <w:p w:rsidR="000417EF" w:rsidRPr="008830DC" w:rsidRDefault="000417EF" w:rsidP="000417EF">
      <w:pPr>
        <w:numPr>
          <w:ilvl w:val="0"/>
          <w:numId w:val="3"/>
        </w:numPr>
        <w:jc w:val="both"/>
      </w:pPr>
      <w:r w:rsidRPr="008830DC">
        <w:t>Friedrich Maier, Lateinunterricht zwischen Tradition und Fortschritt. Band 2. Zur Theorie des lateinischen Lektüreunterrichts. Bamberg (C.C. Buchner) 1984, S. 142-150.</w:t>
      </w:r>
    </w:p>
    <w:p w:rsidR="000417EF" w:rsidRPr="008830DC" w:rsidRDefault="000417EF" w:rsidP="000417EF">
      <w:pPr>
        <w:numPr>
          <w:ilvl w:val="0"/>
          <w:numId w:val="3"/>
        </w:numPr>
        <w:jc w:val="both"/>
      </w:pPr>
      <w:r w:rsidRPr="008830DC">
        <w:t>Peter Kuhlmann, Lateinische Literaturdidaktik, Bamberg 2010, S. 8-38 (Originallektüre im Lateinunterricht – eine Bestandsaufnahme).</w:t>
      </w:r>
    </w:p>
    <w:p w:rsidR="000417EF" w:rsidRDefault="000417EF" w:rsidP="000417EF">
      <w:pPr>
        <w:autoSpaceDE w:val="0"/>
        <w:autoSpaceDN w:val="0"/>
        <w:adjustRightInd w:val="0"/>
      </w:pPr>
    </w:p>
    <w:p w:rsidR="000417EF" w:rsidRDefault="000417EF" w:rsidP="000417EF">
      <w:pPr>
        <w:jc w:val="both"/>
        <w:rPr>
          <w:b/>
        </w:rPr>
      </w:pPr>
      <w:r>
        <w:rPr>
          <w:b/>
        </w:rPr>
        <w:t>Veranschaulichung/Diskussionsimpulse durch…</w:t>
      </w:r>
    </w:p>
    <w:p w:rsidR="000417EF" w:rsidRPr="00E61783" w:rsidRDefault="000417EF" w:rsidP="000417EF">
      <w:pPr>
        <w:jc w:val="both"/>
        <w:rPr>
          <w:b/>
        </w:rPr>
      </w:pPr>
    </w:p>
    <w:p w:rsidR="000417EF" w:rsidRPr="000417EF" w:rsidRDefault="00D2792F" w:rsidP="000417E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Anne-Catherine Rude</w:t>
      </w:r>
      <w:r w:rsidR="000417EF" w:rsidRPr="00BA4C1B">
        <w:rPr>
          <w:b/>
        </w:rPr>
        <w:t>:</w:t>
      </w:r>
      <w:r w:rsidR="000417EF" w:rsidRPr="00BA4C1B">
        <w:t xml:space="preserve"> </w:t>
      </w:r>
      <w:r w:rsidR="000417EF">
        <w:t xml:space="preserve">Vorstellung </w:t>
      </w:r>
      <w:r>
        <w:t>der Prima-Übergangslektüre, Bamberg 2006.</w:t>
      </w:r>
    </w:p>
    <w:p w:rsidR="000417EF" w:rsidRPr="008830DC" w:rsidRDefault="00D2792F" w:rsidP="000417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b/>
        </w:rPr>
        <w:t>Bianca Böheim</w:t>
      </w:r>
      <w:r w:rsidR="000417EF" w:rsidRPr="00BA4C1B">
        <w:rPr>
          <w:b/>
        </w:rPr>
        <w:t>:</w:t>
      </w:r>
      <w:r w:rsidR="000417EF" w:rsidRPr="00BA4C1B">
        <w:t xml:space="preserve"> </w:t>
      </w:r>
      <w:r w:rsidR="000417EF">
        <w:t>Vorstellung einer alten Ratio-Ausgabe</w:t>
      </w:r>
    </w:p>
    <w:p w:rsidR="000417EF" w:rsidRPr="00A01E4F" w:rsidRDefault="000417EF" w:rsidP="000417EF">
      <w:pPr>
        <w:autoSpaceDE w:val="0"/>
        <w:autoSpaceDN w:val="0"/>
        <w:adjustRightInd w:val="0"/>
        <w:jc w:val="both"/>
      </w:pPr>
    </w:p>
    <w:p w:rsidR="000417EF" w:rsidRPr="00A01E4F" w:rsidRDefault="000417EF" w:rsidP="000417EF">
      <w:pPr>
        <w:autoSpaceDE w:val="0"/>
        <w:autoSpaceDN w:val="0"/>
        <w:adjustRightInd w:val="0"/>
        <w:jc w:val="both"/>
        <w:rPr>
          <w:b/>
        </w:rPr>
      </w:pPr>
      <w:r w:rsidRPr="00A01E4F">
        <w:rPr>
          <w:b/>
        </w:rPr>
        <w:t>Mündliche Hausaufgabe:</w:t>
      </w:r>
    </w:p>
    <w:p w:rsidR="000417EF" w:rsidRDefault="000417EF" w:rsidP="000417E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830DC">
        <w:t xml:space="preserve">Arbeiten Sie den o.g. Lexikonartikel von Rainer Nickel durch und definieren Sie anhand der dort vorzufindenden Informationen die folgenden Begriffe: </w:t>
      </w:r>
      <w:r>
        <w:tab/>
        <w:t>s</w:t>
      </w:r>
      <w:r w:rsidRPr="008830DC">
        <w:t>tatarische/</w:t>
      </w:r>
      <w:r>
        <w:t>mikroskopische/</w:t>
      </w:r>
      <w:r w:rsidRPr="008830DC">
        <w:t>kursorische/thematische Le</w:t>
      </w:r>
      <w:r>
        <w:t>ktüre</w:t>
      </w:r>
    </w:p>
    <w:p w:rsidR="000417EF" w:rsidRPr="008830DC" w:rsidRDefault="000417EF" w:rsidP="000417E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830DC">
        <w:t xml:space="preserve">Welche Lernziele formuliert der gegenwärtig gültige Lehrplan für das achtjährige Gymnasium in Bayern für die Lektüreautoren und -themen der 10. Jahrgangsstufe! </w:t>
      </w:r>
    </w:p>
    <w:p w:rsidR="000417EF" w:rsidRDefault="000417EF" w:rsidP="000417EF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</w:pPr>
      <w:r w:rsidRPr="008830DC">
        <w:t xml:space="preserve">Arbeiten Sie den </w:t>
      </w:r>
      <w:r w:rsidRPr="00A01E4F">
        <w:rPr>
          <w:b/>
        </w:rPr>
        <w:t>Aufsatz von Clement Utz</w:t>
      </w:r>
      <w:r w:rsidRPr="008830DC">
        <w:t xml:space="preserve"> durch und definieren Sie in Anlehnung an die dort entwickelten Thesen die folgenden Begriffe: 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Lektüreschock/-frust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Übergangsphase/-lektüre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Anfangslektüre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„Stoffdurchforstung“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adaptierte Texte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inhaltliche Lehrbuchdefizite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Lehrbuchbegleitung</w:t>
      </w:r>
    </w:p>
    <w:p w:rsidR="000417EF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Motivationsschub</w:t>
      </w:r>
    </w:p>
    <w:p w:rsidR="000417EF" w:rsidRPr="008830DC" w:rsidRDefault="000417EF" w:rsidP="000417EF">
      <w:pPr>
        <w:pStyle w:val="Listenabsatz"/>
        <w:autoSpaceDE w:val="0"/>
        <w:autoSpaceDN w:val="0"/>
        <w:adjustRightInd w:val="0"/>
        <w:jc w:val="both"/>
      </w:pPr>
      <w:r>
        <w:tab/>
      </w:r>
      <w:r w:rsidRPr="008830DC">
        <w:t>immanente Wiederholung</w:t>
      </w:r>
    </w:p>
    <w:p w:rsidR="00DE0812" w:rsidRPr="00625A60" w:rsidRDefault="00DE0812"/>
    <w:sectPr w:rsidR="00DE0812" w:rsidRPr="00625A60" w:rsidSect="00DE0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72A"/>
    <w:multiLevelType w:val="hybridMultilevel"/>
    <w:tmpl w:val="FF9E0DA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51D7A"/>
    <w:multiLevelType w:val="hybridMultilevel"/>
    <w:tmpl w:val="552E467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52279"/>
    <w:multiLevelType w:val="hybridMultilevel"/>
    <w:tmpl w:val="AEEE64A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0417EF"/>
    <w:rsid w:val="000417EF"/>
    <w:rsid w:val="000A7239"/>
    <w:rsid w:val="000D67BA"/>
    <w:rsid w:val="000E2AB5"/>
    <w:rsid w:val="0014236F"/>
    <w:rsid w:val="001D5E46"/>
    <w:rsid w:val="00211A08"/>
    <w:rsid w:val="003667D2"/>
    <w:rsid w:val="004666D7"/>
    <w:rsid w:val="004E5E92"/>
    <w:rsid w:val="004F4080"/>
    <w:rsid w:val="00625A60"/>
    <w:rsid w:val="0088104D"/>
    <w:rsid w:val="00AF43DE"/>
    <w:rsid w:val="00AF4B67"/>
    <w:rsid w:val="00BE56EB"/>
    <w:rsid w:val="00D2792F"/>
    <w:rsid w:val="00D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7EF"/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E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7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7E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itg</cp:lastModifiedBy>
  <cp:revision>2</cp:revision>
  <dcterms:created xsi:type="dcterms:W3CDTF">2014-04-14T08:06:00Z</dcterms:created>
  <dcterms:modified xsi:type="dcterms:W3CDTF">2014-04-14T08:06:00Z</dcterms:modified>
</cp:coreProperties>
</file>